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404553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D2164B">
        <w:rPr>
          <w:b/>
          <w:lang w:val="es-MX"/>
        </w:rPr>
        <w:t xml:space="preserve">30 DE </w:t>
      </w:r>
      <w:r w:rsidR="00781BAC">
        <w:rPr>
          <w:b/>
          <w:lang w:val="es-MX"/>
        </w:rPr>
        <w:t>SEPTIEMBRE</w:t>
      </w:r>
      <w:r w:rsidR="00D2164B">
        <w:rPr>
          <w:rFonts w:ascii="Times New Roman"/>
          <w:sz w:val="20"/>
          <w:lang w:val="es-MX"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</w:t>
      </w:r>
      <w:r w:rsidR="008E3FDC">
        <w:rPr>
          <w:b/>
        </w:rPr>
        <w:t>2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781BAC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781BAC">
              <w:rPr>
                <w:b/>
                <w:sz w:val="16"/>
              </w:rPr>
              <w:t>Septiembre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</w:t>
            </w:r>
            <w:r w:rsidR="008E3FDC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  <w:bookmarkStart w:id="0" w:name="_GoBack"/>
            <w:bookmarkEnd w:id="0"/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404553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B0F53"/>
    <w:rsid w:val="00404553"/>
    <w:rsid w:val="00493437"/>
    <w:rsid w:val="004976E5"/>
    <w:rsid w:val="0052384C"/>
    <w:rsid w:val="005475D1"/>
    <w:rsid w:val="0055303C"/>
    <w:rsid w:val="00781BAC"/>
    <w:rsid w:val="007F39B4"/>
    <w:rsid w:val="00821A77"/>
    <w:rsid w:val="008D7F8C"/>
    <w:rsid w:val="008E3FDC"/>
    <w:rsid w:val="00A02EB4"/>
    <w:rsid w:val="00AE0447"/>
    <w:rsid w:val="00AE6B23"/>
    <w:rsid w:val="00BB7713"/>
    <w:rsid w:val="00BE46F0"/>
    <w:rsid w:val="00D2164B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047F0F"/>
  <w15:docId w15:val="{FEC02E46-58A5-4C1D-9378-02BB415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24</cp:revision>
  <cp:lastPrinted>2021-04-26T15:49:00Z</cp:lastPrinted>
  <dcterms:created xsi:type="dcterms:W3CDTF">2018-04-23T18:36:00Z</dcterms:created>
  <dcterms:modified xsi:type="dcterms:W3CDTF">2022-10-11T19:35:00Z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