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1B" w:rsidRDefault="004A161B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8D1E84">
      <w:pPr>
        <w:spacing w:before="92" w:line="247" w:lineRule="auto"/>
        <w:ind w:left="2185" w:right="139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18.35pt,37.25pt" to="514.35pt,37.25pt" strokecolor="#30849b" strokeweight="1.5pt">
            <w10:wrap type="topAndBottom" anchorx="page"/>
          </v:line>
        </w:pict>
      </w:r>
      <w:r w:rsidR="00006479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131445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479">
        <w:rPr>
          <w:b/>
          <w:sz w:val="24"/>
        </w:rPr>
        <w:t>INSTITUTO DE TRANSPARENCIA, ACCESO A LA INFORMACIÓN Y PROTECCIÓN DE DATOS PERSONALES DEL ESTADO DE GUERRERO</w:t>
      </w: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>PROGRAMA CON RECURSOS FEDERALES</w:t>
      </w:r>
    </w:p>
    <w:p w:rsidR="00D02BDD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>AL 3</w:t>
      </w:r>
      <w:r w:rsidR="00C97D37">
        <w:rPr>
          <w:b/>
          <w:sz w:val="24"/>
        </w:rPr>
        <w:t>0</w:t>
      </w:r>
      <w:r w:rsidRPr="00D02BDD">
        <w:rPr>
          <w:b/>
          <w:sz w:val="24"/>
        </w:rPr>
        <w:t xml:space="preserve"> DE </w:t>
      </w:r>
      <w:r w:rsidR="00815C50">
        <w:rPr>
          <w:b/>
          <w:sz w:val="24"/>
        </w:rPr>
        <w:t>SEPTIEMBRE</w:t>
      </w:r>
      <w:r w:rsidRPr="00D02BDD">
        <w:rPr>
          <w:b/>
          <w:sz w:val="24"/>
        </w:rPr>
        <w:t xml:space="preserve"> 20</w:t>
      </w:r>
      <w:r w:rsidR="000E2633">
        <w:rPr>
          <w:b/>
          <w:sz w:val="24"/>
        </w:rPr>
        <w:t>20</w:t>
      </w:r>
    </w:p>
    <w:p w:rsidR="004A161B" w:rsidRPr="00D02BDD" w:rsidRDefault="004A161B" w:rsidP="00D02BDD">
      <w:pPr>
        <w:jc w:val="center"/>
        <w:rPr>
          <w:b/>
          <w:sz w:val="24"/>
        </w:rPr>
      </w:pPr>
    </w:p>
    <w:p w:rsidR="004A161B" w:rsidRDefault="004A161B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0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008"/>
        <w:gridCol w:w="980"/>
        <w:gridCol w:w="1011"/>
        <w:gridCol w:w="980"/>
        <w:gridCol w:w="1011"/>
        <w:gridCol w:w="980"/>
        <w:gridCol w:w="1024"/>
        <w:gridCol w:w="911"/>
        <w:gridCol w:w="911"/>
      </w:tblGrid>
      <w:tr w:rsidR="004A161B">
        <w:trPr>
          <w:trHeight w:val="1031"/>
        </w:trPr>
        <w:tc>
          <w:tcPr>
            <w:tcW w:w="10057" w:type="dxa"/>
            <w:gridSpan w:val="10"/>
          </w:tcPr>
          <w:p w:rsidR="004A161B" w:rsidRDefault="00006479">
            <w:pPr>
              <w:pStyle w:val="TableParagraph"/>
              <w:spacing w:before="41" w:line="312" w:lineRule="auto"/>
              <w:ind w:left="228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4A161B" w:rsidRDefault="00006479" w:rsidP="00815C50">
            <w:pPr>
              <w:pStyle w:val="TableParagraph"/>
              <w:spacing w:before="40" w:line="220" w:lineRule="atLeast"/>
              <w:ind w:left="2268" w:right="2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programas con recursos concurrente por orden de gobierno Periodo (Enero a </w:t>
            </w:r>
            <w:r w:rsidR="00815C50">
              <w:rPr>
                <w:b/>
                <w:sz w:val="16"/>
              </w:rPr>
              <w:t>Septiembre</w:t>
            </w:r>
            <w:r w:rsidR="000E2633">
              <w:rPr>
                <w:b/>
                <w:sz w:val="16"/>
              </w:rPr>
              <w:t xml:space="preserve"> 2020</w:t>
            </w:r>
            <w:r>
              <w:rPr>
                <w:b/>
                <w:sz w:val="16"/>
              </w:rPr>
              <w:t>)</w:t>
            </w:r>
          </w:p>
        </w:tc>
      </w:tr>
      <w:tr w:rsidR="004A161B">
        <w:trPr>
          <w:trHeight w:val="246"/>
        </w:trPr>
        <w:tc>
          <w:tcPr>
            <w:tcW w:w="1241" w:type="dxa"/>
            <w:vMerge w:val="restart"/>
          </w:tcPr>
          <w:p w:rsidR="004A161B" w:rsidRDefault="00006479">
            <w:pPr>
              <w:pStyle w:val="TableParagraph"/>
              <w:spacing w:before="55" w:line="307" w:lineRule="auto"/>
              <w:ind w:left="312" w:right="226" w:hanging="56"/>
              <w:rPr>
                <w:sz w:val="14"/>
              </w:rPr>
            </w:pPr>
            <w:r>
              <w:rPr>
                <w:sz w:val="14"/>
              </w:rPr>
              <w:t>Nombre del Programa</w:t>
            </w:r>
          </w:p>
        </w:tc>
        <w:tc>
          <w:tcPr>
            <w:tcW w:w="1988" w:type="dxa"/>
            <w:gridSpan w:val="2"/>
          </w:tcPr>
          <w:p w:rsidR="004A161B" w:rsidRDefault="00006479">
            <w:pPr>
              <w:pStyle w:val="TableParagraph"/>
              <w:spacing w:before="55"/>
              <w:ind w:left="734" w:right="723"/>
              <w:jc w:val="center"/>
              <w:rPr>
                <w:sz w:val="14"/>
              </w:rPr>
            </w:pPr>
            <w:r>
              <w:rPr>
                <w:sz w:val="14"/>
              </w:rPr>
              <w:t>Federal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7"/>
              <w:jc w:val="center"/>
              <w:rPr>
                <w:sz w:val="14"/>
              </w:rPr>
            </w:pPr>
            <w:r>
              <w:rPr>
                <w:sz w:val="14"/>
              </w:rPr>
              <w:t>Estatal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9"/>
              <w:jc w:val="center"/>
              <w:rPr>
                <w:sz w:val="14"/>
              </w:rPr>
            </w:pPr>
            <w:r>
              <w:rPr>
                <w:sz w:val="14"/>
              </w:rPr>
              <w:t>Municipal</w:t>
            </w:r>
          </w:p>
        </w:tc>
        <w:tc>
          <w:tcPr>
            <w:tcW w:w="1935" w:type="dxa"/>
            <w:gridSpan w:val="2"/>
          </w:tcPr>
          <w:p w:rsidR="004A161B" w:rsidRDefault="00006479">
            <w:pPr>
              <w:pStyle w:val="TableParagraph"/>
              <w:spacing w:before="55"/>
              <w:ind w:left="771" w:right="766"/>
              <w:jc w:val="center"/>
              <w:rPr>
                <w:sz w:val="14"/>
              </w:rPr>
            </w:pPr>
            <w:r>
              <w:rPr>
                <w:sz w:val="14"/>
              </w:rPr>
              <w:t>Otros</w:t>
            </w:r>
          </w:p>
        </w:tc>
        <w:tc>
          <w:tcPr>
            <w:tcW w:w="911" w:type="dxa"/>
            <w:vMerge w:val="restart"/>
          </w:tcPr>
          <w:p w:rsidR="004A161B" w:rsidRDefault="00006479">
            <w:pPr>
              <w:pStyle w:val="TableParagraph"/>
              <w:spacing w:before="55" w:line="336" w:lineRule="auto"/>
              <w:ind w:left="292" w:right="233" w:hanging="39"/>
              <w:rPr>
                <w:sz w:val="14"/>
              </w:rPr>
            </w:pPr>
            <w:r>
              <w:rPr>
                <w:sz w:val="14"/>
              </w:rPr>
              <w:t>Monto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</w:p>
        </w:tc>
      </w:tr>
      <w:tr w:rsidR="004A161B">
        <w:trPr>
          <w:trHeight w:val="678"/>
        </w:trPr>
        <w:tc>
          <w:tcPr>
            <w:tcW w:w="124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4A161B" w:rsidRDefault="00006479">
            <w:pPr>
              <w:pStyle w:val="TableParagraph"/>
              <w:spacing w:before="53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7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1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7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6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0" w:right="58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5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5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24" w:type="dxa"/>
          </w:tcPr>
          <w:p w:rsidR="004A161B" w:rsidRDefault="00006479">
            <w:pPr>
              <w:pStyle w:val="TableParagraph"/>
              <w:spacing w:before="53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11" w:type="dxa"/>
          </w:tcPr>
          <w:p w:rsidR="004A161B" w:rsidRDefault="00006479">
            <w:pPr>
              <w:pStyle w:val="TableParagraph"/>
              <w:spacing w:before="53" w:line="312" w:lineRule="auto"/>
              <w:ind w:left="209" w:hanging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</w:tr>
      <w:tr w:rsidR="004A161B">
        <w:trPr>
          <w:trHeight w:val="246"/>
        </w:trPr>
        <w:tc>
          <w:tcPr>
            <w:tcW w:w="1241" w:type="dxa"/>
          </w:tcPr>
          <w:p w:rsidR="004A161B" w:rsidRDefault="00006479">
            <w:pPr>
              <w:pStyle w:val="TableParagraph"/>
              <w:spacing w:before="72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Recurso estatal</w:t>
            </w:r>
          </w:p>
        </w:tc>
        <w:tc>
          <w:tcPr>
            <w:tcW w:w="1008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5C50">
        <w:trPr>
          <w:trHeight w:val="450"/>
        </w:trPr>
        <w:tc>
          <w:tcPr>
            <w:tcW w:w="1241" w:type="dxa"/>
          </w:tcPr>
          <w:p w:rsidR="00815C50" w:rsidRDefault="00815C50">
            <w:pPr>
              <w:pStyle w:val="TableParagraph"/>
              <w:spacing w:before="10" w:line="200" w:lineRule="atLeast"/>
              <w:ind w:left="69" w:right="549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1008" w:type="dxa"/>
          </w:tcPr>
          <w:p w:rsidR="00815C50" w:rsidRDefault="00815C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815C50" w:rsidRDefault="00815C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815C50" w:rsidRDefault="00815C50">
            <w:pPr>
              <w:pStyle w:val="TableParagraph"/>
              <w:spacing w:before="10" w:line="200" w:lineRule="atLeas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815C50" w:rsidRDefault="00815C50" w:rsidP="00815C50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7,800,385.98</w:t>
            </w:r>
          </w:p>
        </w:tc>
        <w:tc>
          <w:tcPr>
            <w:tcW w:w="1011" w:type="dxa"/>
          </w:tcPr>
          <w:p w:rsidR="00815C50" w:rsidRDefault="00815C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815C50" w:rsidRDefault="00815C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815C50" w:rsidRDefault="00815C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815C50" w:rsidRDefault="00815C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815C50" w:rsidRDefault="00815C50" w:rsidP="004B1DF8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7,800,385.98</w:t>
            </w:r>
          </w:p>
        </w:tc>
      </w:tr>
      <w:tr w:rsidR="00815C50">
        <w:trPr>
          <w:trHeight w:val="453"/>
        </w:trPr>
        <w:tc>
          <w:tcPr>
            <w:tcW w:w="1241" w:type="dxa"/>
          </w:tcPr>
          <w:p w:rsidR="00815C50" w:rsidRDefault="00815C50">
            <w:pPr>
              <w:pStyle w:val="TableParagraph"/>
              <w:tabs>
                <w:tab w:val="left" w:pos="1109"/>
              </w:tabs>
              <w:spacing w:line="210" w:lineRule="atLeast"/>
              <w:ind w:left="69" w:right="53"/>
              <w:rPr>
                <w:sz w:val="12"/>
              </w:rPr>
            </w:pPr>
            <w:r>
              <w:rPr>
                <w:sz w:val="12"/>
              </w:rPr>
              <w:t>Materiales</w:t>
            </w:r>
            <w:r>
              <w:rPr>
                <w:sz w:val="12"/>
              </w:rPr>
              <w:tab/>
            </w:r>
            <w:r>
              <w:rPr>
                <w:spacing w:val="-16"/>
                <w:sz w:val="12"/>
              </w:rPr>
              <w:t xml:space="preserve">y </w:t>
            </w:r>
            <w:r>
              <w:rPr>
                <w:sz w:val="12"/>
              </w:rPr>
              <w:t>suministros</w:t>
            </w:r>
          </w:p>
        </w:tc>
        <w:tc>
          <w:tcPr>
            <w:tcW w:w="1008" w:type="dxa"/>
          </w:tcPr>
          <w:p w:rsidR="00815C50" w:rsidRDefault="00815C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815C50" w:rsidRDefault="00815C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815C50" w:rsidRDefault="00815C50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815C50" w:rsidRDefault="00815C50" w:rsidP="00AA640C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135,356.18</w:t>
            </w:r>
          </w:p>
        </w:tc>
        <w:tc>
          <w:tcPr>
            <w:tcW w:w="1011" w:type="dxa"/>
          </w:tcPr>
          <w:p w:rsidR="00815C50" w:rsidRDefault="00815C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815C50" w:rsidRDefault="00815C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815C50" w:rsidRDefault="00815C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815C50" w:rsidRDefault="00815C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815C50" w:rsidRDefault="00815C50" w:rsidP="004B1DF8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135,356.18</w:t>
            </w:r>
          </w:p>
        </w:tc>
      </w:tr>
      <w:tr w:rsidR="00815C50">
        <w:trPr>
          <w:trHeight w:val="275"/>
        </w:trPr>
        <w:tc>
          <w:tcPr>
            <w:tcW w:w="1241" w:type="dxa"/>
          </w:tcPr>
          <w:p w:rsidR="00815C50" w:rsidRDefault="00815C50">
            <w:pPr>
              <w:pStyle w:val="TableParagraph"/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1008" w:type="dxa"/>
          </w:tcPr>
          <w:p w:rsidR="00815C50" w:rsidRDefault="00815C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815C50" w:rsidRDefault="00815C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815C50" w:rsidRDefault="00815C50">
            <w:pPr>
              <w:pStyle w:val="TableParagraph"/>
              <w:spacing w:before="1" w:line="136" w:lineRule="exac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815C50" w:rsidRDefault="00815C50" w:rsidP="00AA640C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788,183.32</w:t>
            </w:r>
          </w:p>
        </w:tc>
        <w:tc>
          <w:tcPr>
            <w:tcW w:w="1011" w:type="dxa"/>
          </w:tcPr>
          <w:p w:rsidR="00815C50" w:rsidRDefault="00815C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815C50" w:rsidRDefault="00815C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815C50" w:rsidRDefault="00815C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815C50" w:rsidRDefault="00815C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815C50" w:rsidRDefault="00815C50" w:rsidP="004B1DF8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788,183.32</w:t>
            </w:r>
          </w:p>
        </w:tc>
      </w:tr>
      <w:tr w:rsidR="00815C50">
        <w:trPr>
          <w:trHeight w:val="659"/>
        </w:trPr>
        <w:tc>
          <w:tcPr>
            <w:tcW w:w="1241" w:type="dxa"/>
          </w:tcPr>
          <w:p w:rsidR="00815C50" w:rsidRDefault="00815C50">
            <w:pPr>
              <w:pStyle w:val="TableParagraph"/>
              <w:tabs>
                <w:tab w:val="left" w:pos="683"/>
              </w:tabs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Bienes</w:t>
            </w:r>
            <w:r>
              <w:rPr>
                <w:sz w:val="12"/>
              </w:rPr>
              <w:tab/>
              <w:t>muebles,</w:t>
            </w:r>
          </w:p>
          <w:p w:rsidR="00815C50" w:rsidRDefault="00815C50">
            <w:pPr>
              <w:pStyle w:val="TableParagraph"/>
              <w:tabs>
                <w:tab w:val="left" w:pos="1102"/>
              </w:tabs>
              <w:spacing w:before="12" w:line="208" w:lineRule="exact"/>
              <w:ind w:left="69" w:right="54"/>
              <w:rPr>
                <w:sz w:val="12"/>
              </w:rPr>
            </w:pPr>
            <w:r>
              <w:rPr>
                <w:sz w:val="12"/>
              </w:rPr>
              <w:t>inmuebles</w:t>
            </w:r>
            <w:r>
              <w:rPr>
                <w:sz w:val="12"/>
              </w:rPr>
              <w:tab/>
            </w:r>
            <w:r>
              <w:rPr>
                <w:spacing w:val="-17"/>
                <w:sz w:val="12"/>
              </w:rPr>
              <w:t xml:space="preserve">e </w:t>
            </w:r>
            <w:r>
              <w:rPr>
                <w:sz w:val="12"/>
              </w:rPr>
              <w:t>intangibles</w:t>
            </w:r>
          </w:p>
        </w:tc>
        <w:tc>
          <w:tcPr>
            <w:tcW w:w="1008" w:type="dxa"/>
          </w:tcPr>
          <w:p w:rsidR="00815C50" w:rsidRDefault="00815C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815C50" w:rsidRDefault="00815C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815C50" w:rsidRDefault="00815C50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815C50" w:rsidRDefault="00815C50" w:rsidP="00AA640C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12,600.00</w:t>
            </w:r>
          </w:p>
        </w:tc>
        <w:tc>
          <w:tcPr>
            <w:tcW w:w="1011" w:type="dxa"/>
          </w:tcPr>
          <w:p w:rsidR="00815C50" w:rsidRDefault="00815C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815C50" w:rsidRDefault="00815C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815C50" w:rsidRDefault="00815C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815C50" w:rsidRDefault="00815C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815C50" w:rsidRDefault="00815C50" w:rsidP="004B1DF8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12,600.00</w:t>
            </w:r>
          </w:p>
        </w:tc>
      </w:tr>
    </w:tbl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8D1E84">
      <w:pPr>
        <w:rPr>
          <w:b/>
          <w:sz w:val="27"/>
        </w:rPr>
      </w:pPr>
      <w:r>
        <w:pict>
          <v:line id="_x0000_s1026" style="position:absolute;z-index:-251657728;mso-wrap-distance-left:0;mso-wrap-distance-right:0;mso-position-horizontal-relative:page" from="28.35pt,18.25pt" to="518.8pt,18.25pt" strokecolor="#30849b" strokeweight="1.5pt">
            <w10:wrap type="topAndBottom" anchorx="page"/>
          </v:line>
        </w:pict>
      </w:r>
    </w:p>
    <w:p w:rsidR="0085151F" w:rsidRDefault="0085151F" w:rsidP="0085151F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>C.P. 39070, Chilpancingo de los Bravo, Guerrero.</w:t>
      </w:r>
    </w:p>
    <w:p w:rsidR="0085151F" w:rsidRDefault="0085151F" w:rsidP="0085151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4A161B" w:rsidRDefault="004A161B">
      <w:pPr>
        <w:spacing w:line="179" w:lineRule="exact"/>
        <w:ind w:right="104"/>
        <w:jc w:val="right"/>
        <w:rPr>
          <w:b/>
          <w:sz w:val="16"/>
        </w:rPr>
      </w:pPr>
    </w:p>
    <w:sectPr w:rsidR="004A161B">
      <w:type w:val="continuous"/>
      <w:pgSz w:w="12250" w:h="15850"/>
      <w:pgMar w:top="60" w:right="4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161B"/>
    <w:rsid w:val="00006479"/>
    <w:rsid w:val="000E2633"/>
    <w:rsid w:val="002129A2"/>
    <w:rsid w:val="002932D4"/>
    <w:rsid w:val="002E0BBD"/>
    <w:rsid w:val="003F4651"/>
    <w:rsid w:val="004A161B"/>
    <w:rsid w:val="00685BE4"/>
    <w:rsid w:val="00795AB7"/>
    <w:rsid w:val="007A651B"/>
    <w:rsid w:val="00815C50"/>
    <w:rsid w:val="0085151F"/>
    <w:rsid w:val="008D1E84"/>
    <w:rsid w:val="00B8797F"/>
    <w:rsid w:val="00C97D37"/>
    <w:rsid w:val="00D02BDD"/>
    <w:rsid w:val="00D225CC"/>
    <w:rsid w:val="00E160A7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51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21</cp:revision>
  <cp:lastPrinted>2020-10-15T18:11:00Z</cp:lastPrinted>
  <dcterms:created xsi:type="dcterms:W3CDTF">2018-04-23T18:45:00Z</dcterms:created>
  <dcterms:modified xsi:type="dcterms:W3CDTF">2020-10-15T18:11:00Z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