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0F000C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AL 31 DE MARZO 2019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0F000C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0F000C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201</w:t>
            </w:r>
            <w:r w:rsidR="00EB1618">
              <w:rPr>
                <w:b/>
                <w:sz w:val="16"/>
              </w:rPr>
              <w:t>9</w:t>
            </w:r>
          </w:p>
          <w:p w:rsidR="00B97E90" w:rsidRDefault="000F000C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0F000C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0F000C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0F000C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0F000C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</w:t>
      </w:r>
      <w:r w:rsidRPr="00EB1618">
        <w:rPr>
          <w:b/>
        </w:rPr>
        <w:t>:</w:t>
      </w:r>
      <w:r w:rsidRPr="00EB1618">
        <w:t xml:space="preserve"> El instituto de Transparencia, Acceso a la Información y Protección de Datos Personales del Estado de Guerrero NO cuenta con Cuentas  Bancarias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  <w:bookmarkStart w:id="0" w:name="_GoBack"/>
      <w:bookmarkEnd w:id="0"/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EB1618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>
        <w:rPr>
          <w:rFonts w:ascii="Arial Narrow" w:hAnsi="Arial Narrow"/>
          <w:i/>
          <w:iCs/>
          <w:sz w:val="20"/>
          <w:szCs w:val="22"/>
        </w:rPr>
        <w:t>C.P. 39070, Chilpancingo</w:t>
      </w:r>
      <w:r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>
        <w:rPr>
          <w:rFonts w:ascii="Arial Narrow" w:hAnsi="Arial Narrow"/>
          <w:i/>
          <w:iCs/>
          <w:sz w:val="20"/>
          <w:szCs w:val="22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B97E90"/>
    <w:rsid w:val="00E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3</cp:revision>
  <cp:lastPrinted>2019-05-01T17:30:00Z</cp:lastPrinted>
  <dcterms:created xsi:type="dcterms:W3CDTF">2019-05-01T17:25:00Z</dcterms:created>
  <dcterms:modified xsi:type="dcterms:W3CDTF">2019-05-01T17:31:00Z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