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3"/>
        <w:gridCol w:w="608"/>
        <w:gridCol w:w="149"/>
        <w:gridCol w:w="363"/>
        <w:gridCol w:w="304"/>
        <w:gridCol w:w="282"/>
        <w:gridCol w:w="141"/>
        <w:gridCol w:w="1104"/>
        <w:gridCol w:w="743"/>
        <w:gridCol w:w="138"/>
        <w:gridCol w:w="358"/>
        <w:gridCol w:w="496"/>
        <w:gridCol w:w="2406"/>
        <w:gridCol w:w="1703"/>
        <w:gridCol w:w="141"/>
        <w:gridCol w:w="3643"/>
      </w:tblGrid>
      <w:tr w:rsidR="004C3322" w:rsidTr="004C3322">
        <w:trPr>
          <w:trHeight w:hRule="exact" w:val="5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22" w:rsidRPr="001E7801" w:rsidRDefault="004C3322" w:rsidP="00B264C0">
            <w:pPr>
              <w:rPr>
                <w:b/>
                <w:color w:val="2E6E77"/>
                <w:sz w:val="24"/>
              </w:rPr>
            </w:pPr>
            <w:bookmarkStart w:id="0" w:name="OLE_LINK1"/>
          </w:p>
        </w:tc>
      </w:tr>
      <w:tr w:rsidR="00B264C0" w:rsidTr="004C3322">
        <w:tc>
          <w:tcPr>
            <w:tcW w:w="6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264C0" w:rsidRPr="00B264C0" w:rsidRDefault="00B264C0" w:rsidP="00B264C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55EB16B" wp14:editId="3CC92260">
                  <wp:extent cx="374400" cy="374400"/>
                  <wp:effectExtent l="0" t="0" r="6985" b="698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C0" w:rsidRPr="001E7801" w:rsidRDefault="00B264C0" w:rsidP="00B264C0">
            <w:pPr>
              <w:rPr>
                <w:b/>
                <w:color w:val="2E6E77"/>
                <w:sz w:val="24"/>
                <w:szCs w:val="26"/>
              </w:rPr>
            </w:pPr>
            <w:r w:rsidRPr="001E7801">
              <w:rPr>
                <w:b/>
                <w:color w:val="2E6E77"/>
                <w:sz w:val="24"/>
              </w:rPr>
              <w:t>Instituto de Transparencia, Acceso a la Información y Protección de Datos Personales del Estado de Guerrero</w:t>
            </w:r>
          </w:p>
        </w:tc>
      </w:tr>
      <w:tr w:rsidR="001E7801" w:rsidTr="004C3322"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801" w:rsidRPr="001E7801" w:rsidRDefault="001E7801" w:rsidP="001E7801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0C584F" w:rsidTr="00664B0F">
        <w:trPr>
          <w:trHeight w:hRule="exact" w:val="79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664B0F" w:rsidRDefault="00664B0F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64B0F">
              <w:rPr>
                <w:b/>
                <w:color w:val="FFFFFF" w:themeColor="background1"/>
                <w:sz w:val="26"/>
                <w:szCs w:val="26"/>
              </w:rPr>
              <w:t>Tabla de Aplicabilidad de las Obligaciones de Transparen</w:t>
            </w:r>
            <w:r>
              <w:rPr>
                <w:b/>
                <w:color w:val="FFFFFF" w:themeColor="background1"/>
                <w:sz w:val="26"/>
                <w:szCs w:val="26"/>
              </w:rPr>
              <w:t>cia Comunes y Específicas de la</w:t>
            </w:r>
          </w:p>
          <w:p w:rsidR="000C584F" w:rsidRPr="00AC2A97" w:rsidRDefault="00664B0F" w:rsidP="00B264C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64B0F">
              <w:rPr>
                <w:b/>
                <w:color w:val="FFFF00"/>
                <w:sz w:val="26"/>
                <w:szCs w:val="26"/>
              </w:rPr>
              <w:t>Comisión de los Derechos Humanos del Estado de Guerrero</w:t>
            </w:r>
          </w:p>
        </w:tc>
      </w:tr>
      <w:tr w:rsidR="000C584F" w:rsidTr="00B5388A">
        <w:tc>
          <w:tcPr>
            <w:tcW w:w="887" w:type="pct"/>
            <w:gridSpan w:val="5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bookmarkStart w:id="1" w:name="_GoBack"/>
            <w:bookmarkEnd w:id="1"/>
            <w:r w:rsidRPr="001E7801">
              <w:rPr>
                <w:color w:val="FFFFFF" w:themeColor="background1"/>
              </w:rPr>
              <w:t>Tipo de sujeto obligado:</w:t>
            </w:r>
          </w:p>
        </w:tc>
        <w:tc>
          <w:tcPr>
            <w:tcW w:w="4113" w:type="pct"/>
            <w:gridSpan w:val="11"/>
            <w:vAlign w:val="center"/>
          </w:tcPr>
          <w:p w:rsidR="000C584F" w:rsidRDefault="000C584F" w:rsidP="000C584F"/>
        </w:tc>
      </w:tr>
      <w:tr w:rsidR="000C584F" w:rsidTr="00B5388A">
        <w:tc>
          <w:tcPr>
            <w:tcW w:w="1043" w:type="pct"/>
            <w:gridSpan w:val="7"/>
            <w:shd w:val="clear" w:color="auto" w:fill="2E6E77"/>
            <w:vAlign w:val="center"/>
          </w:tcPr>
          <w:p w:rsidR="000C584F" w:rsidRPr="001E7801" w:rsidRDefault="000C584F" w:rsidP="000C584F">
            <w:pPr>
              <w:rPr>
                <w:color w:val="FFFFFF" w:themeColor="background1"/>
              </w:rPr>
            </w:pPr>
            <w:r w:rsidRPr="001E7801">
              <w:rPr>
                <w:color w:val="FFFFFF" w:themeColor="background1"/>
              </w:rPr>
              <w:t>Nombre del sujeto obligado:</w:t>
            </w:r>
          </w:p>
        </w:tc>
        <w:tc>
          <w:tcPr>
            <w:tcW w:w="3957" w:type="pct"/>
            <w:gridSpan w:val="9"/>
            <w:vAlign w:val="center"/>
          </w:tcPr>
          <w:p w:rsidR="000C584F" w:rsidRDefault="000C584F" w:rsidP="000C584F"/>
        </w:tc>
      </w:tr>
      <w:bookmarkEnd w:id="0"/>
      <w:tr w:rsidR="00310312" w:rsidTr="00310312">
        <w:tc>
          <w:tcPr>
            <w:tcW w:w="1775" w:type="pct"/>
            <w:gridSpan w:val="10"/>
            <w:shd w:val="clear" w:color="auto" w:fill="2E6E77"/>
            <w:vAlign w:val="center"/>
          </w:tcPr>
          <w:p w:rsidR="00310312" w:rsidRPr="001E7801" w:rsidRDefault="00310312" w:rsidP="003103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Poder de gobierno de quien recibe recurso público:</w:t>
            </w:r>
          </w:p>
        </w:tc>
        <w:tc>
          <w:tcPr>
            <w:tcW w:w="3225" w:type="pct"/>
            <w:gridSpan w:val="6"/>
            <w:vAlign w:val="center"/>
          </w:tcPr>
          <w:p w:rsidR="00310312" w:rsidRDefault="00310312" w:rsidP="00310312"/>
        </w:tc>
      </w:tr>
      <w:tr w:rsidR="00310312" w:rsidTr="003131F4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color w:val="0099FF"/>
                <w:sz w:val="24"/>
              </w:rPr>
            </w:pPr>
            <w:r w:rsidRPr="003131F4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10312" w:rsidTr="00836286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310312" w:rsidRPr="001E7801" w:rsidRDefault="00310312" w:rsidP="003103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310312" w:rsidRPr="00BC5D79" w:rsidRDefault="00310312" w:rsidP="00310312">
            <w:pPr>
              <w:jc w:val="center"/>
              <w:rPr>
                <w:sz w:val="36"/>
              </w:rPr>
            </w:pPr>
            <w:r w:rsidRPr="00BC5D79">
              <w:rPr>
                <w:sz w:val="32"/>
              </w:rPr>
              <w:t>81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310312" w:rsidRPr="00BC5D79" w:rsidRDefault="00310312" w:rsidP="00310312">
            <w:pPr>
              <w:jc w:val="center"/>
              <w:rPr>
                <w:b/>
                <w:color w:val="FFFFFF" w:themeColor="background1"/>
              </w:rPr>
            </w:pPr>
            <w:r w:rsidRPr="00BC5D79">
              <w:rPr>
                <w:b/>
                <w:color w:val="FFFFFF" w:themeColor="background1"/>
              </w:rPr>
              <w:t>Los sujetos obligados pondrán a disposición del público y mantendrán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</w:tc>
      </w:tr>
      <w:tr w:rsidR="00310312" w:rsidTr="003131F4">
        <w:trPr>
          <w:trHeight w:val="395"/>
        </w:trPr>
        <w:tc>
          <w:tcPr>
            <w:tcW w:w="1724" w:type="pct"/>
            <w:gridSpan w:val="9"/>
            <w:vMerge w:val="restart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Fracción</w:t>
            </w:r>
          </w:p>
        </w:tc>
        <w:tc>
          <w:tcPr>
            <w:tcW w:w="366" w:type="pct"/>
            <w:gridSpan w:val="3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En caso de no aplicar, motivación y fundamentación de las razones por las cuales</w:t>
            </w:r>
          </w:p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310312" w:rsidTr="00B5388A">
        <w:trPr>
          <w:trHeight w:val="191"/>
        </w:trPr>
        <w:tc>
          <w:tcPr>
            <w:tcW w:w="1724" w:type="pct"/>
            <w:gridSpan w:val="9"/>
            <w:vMerge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310312" w:rsidRPr="003131F4" w:rsidRDefault="00310312" w:rsidP="00310312">
            <w:pPr>
              <w:jc w:val="center"/>
              <w:rPr>
                <w:b/>
                <w:sz w:val="20"/>
              </w:rPr>
            </w:pPr>
            <w:r w:rsidRPr="003131F4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I.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III. Las facultades de cada área;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IV. Las metas y objetivos de las áreas de conformidad con sus programas operativos;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V. Los indicadores relacionados con temas de interés público o trascendencia social </w:t>
            </w:r>
            <w:proofErr w:type="gramStart"/>
            <w:r w:rsidRPr="00C04A6A">
              <w:rPr>
                <w:sz w:val="20"/>
              </w:rPr>
              <w:t>que</w:t>
            </w:r>
            <w:proofErr w:type="gramEnd"/>
            <w:r w:rsidRPr="00C04A6A">
              <w:rPr>
                <w:sz w:val="20"/>
              </w:rPr>
              <w:t xml:space="preserve"> conforme a sus funciones, deban establecer;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VI. Los indicadores que permitan rendir cuenta de sus objetivos y resultados;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VII. El directorio de todos los servidores públicos, a partir del nivel de jefe de departamento o su equivalente, o de menor nivel, cuando se brinde atención al público; manejen o apliquen recursos </w:t>
            </w:r>
            <w:r w:rsidRPr="00C04A6A">
              <w:rPr>
                <w:sz w:val="20"/>
              </w:rPr>
              <w:lastRenderedPageBreak/>
              <w:t>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  <w:p w:rsidR="00310312" w:rsidRPr="00E06E2C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Pr="00E06E2C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Pr="00E06E2C" w:rsidRDefault="00310312" w:rsidP="00310312">
            <w:pPr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IX. Los gastos de representación y viáticos, así como el objeto e informe de comisión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X. El número total de las plazas y del personal de base y confianza, especificando el total de las vacantes, por nivel de puesto, para cada unidad administrativa;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XI. 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XII. 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XIII. El domicilio de la Unidad de Transparencia, además de la dirección electrónica donde podrán recibirse las solicitudes para obtener la información;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FFFFF" w:themeFill="background1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XIV. Las convocatorias a concursos para ocupar cargos públicos y los resultados de los mismos;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FFFFF" w:themeFill="background1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XV. La información de los programas de subsidios, estímulos y apoyos, en el que se deberá informar respecto de los programas de transferencia, de servicios, de infraestructura social y de subsidio;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XVI. Las condiciones generales de trabajo, contratos o convenios que regulen las relaciones laborales del personal de base o de confianza, así como los recursos públicos económicos, en especie o donativos, que sean </w:t>
            </w:r>
            <w:r w:rsidRPr="00C04A6A">
              <w:rPr>
                <w:sz w:val="20"/>
              </w:rPr>
              <w:lastRenderedPageBreak/>
              <w:t>entregados a los sindicatos y ejerzan como recursos públicos;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XVII.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XVIII. El listado de Servidores Públicos con sanciones administrativas definitivas, especificando la causa de sanción y la disposición;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XIX. Los servicios que ofrecen señalando los requisitos para acceder a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XX. Los trámites, requisitos y formatos que ofrecen;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XXI. La información financiera sobre el presupuesto asignado, así como los informes del ejercicio trimestral del gasto, en términos de la normatividad aplicable;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XXII. La información relativa a la deuda pública, en términos de la normatividad aplicable;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XXIII. 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XXIV. Los informes de resultados de las auditorías al ejercicio presupuestal de cada sujeto obligado que se realicen y, en su caso, las aclaraciones que correspondan;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XXV. El resultado de la </w:t>
            </w:r>
            <w:proofErr w:type="spellStart"/>
            <w:r w:rsidRPr="00C04A6A">
              <w:rPr>
                <w:sz w:val="20"/>
              </w:rPr>
              <w:t>dictaminación</w:t>
            </w:r>
            <w:proofErr w:type="spellEnd"/>
            <w:r w:rsidRPr="00C04A6A">
              <w:rPr>
                <w:sz w:val="20"/>
              </w:rPr>
              <w:t xml:space="preserve"> de los estados financieros;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 Los montos, criterios, convocatorias y listado de personas físicas o morales a quienes, por cualquier motivo, se les asignen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XXVII. 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lastRenderedPageBreak/>
              <w:t>XXVIII. La información sobre los resultados sobre procedimientos de adjudicación directa, invitación restringida y licitación de cualquier naturaleza, incluyendo la versión pública del expediente respectivo y de los contratos celebrados;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XXIX. Los informes que por disposición legal generen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XXX. Las estadísticas que generen en cumplimiento de sus facultades, competencias o funciones con la mayor desagregación posible;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XXXI. Informe de avances programáticos o presupuestales, balances generales y su estado financiero;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XXXII. Padrón de proveedores y contratistas;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XXXIII. Los convenios de coordinación de concertación con los sectores social y privado;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XXXIV. El inventario de bienes muebles e inmuebles en posesión y propiedad;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XXXV. 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XXXVI. Las resoluciones y laudos que se emitan en procesos o procedimientos seguidos en forma de juicio;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XXXVII. Los mecanismos de participación ciudadana;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XXXVIII. 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XXXIX. Las actas y resoluciones del Comité de Transparencia de los sujetos obligados;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XL. Todas las evaluaciones y encuestas que hagan los sujetos obligados a programas financiados con recursos públicos;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XLI. Los estudios financiados con recursos públicos;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XLII. El listado de jubilados y pensionados y el monto que reciben;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 xml:space="preserve">XLIII. Los ingresos recibidos por cualquier concepto señalando el nombre de los responsables de recibirlos, </w:t>
            </w:r>
            <w:r w:rsidRPr="00C04A6A">
              <w:rPr>
                <w:sz w:val="20"/>
              </w:rPr>
              <w:lastRenderedPageBreak/>
              <w:t>administrarlos y ejercerlos, así como su destino, indicando el destino de cada uno de ellos;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XLIV. Donaciones hechas a terceros en dinero o en especie;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XLV. El catálogo de disposición y guía de archivo documental;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XLVI. Las actas de sesiones ordinarias y extraordinarias, así como las opiniones y recomendaciones que emitan, en su caso, los consejos consultivos;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Tr="00B5388A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C04A6A">
              <w:rPr>
                <w:sz w:val="20"/>
              </w:rPr>
              <w:t>XLVIII. 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04581D" w:rsidTr="00390561">
        <w:trPr>
          <w:trHeight w:hRule="exact" w:val="454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color w:val="0099FF"/>
                <w:sz w:val="24"/>
              </w:rPr>
            </w:pPr>
            <w:r w:rsidRPr="0004581D">
              <w:rPr>
                <w:b/>
                <w:color w:val="0099FF"/>
                <w:sz w:val="24"/>
              </w:rPr>
              <w:t>Ley número 207 de Transparencia y Acceso a la Información Pública del Estado de Guerrero</w:t>
            </w:r>
          </w:p>
        </w:tc>
      </w:tr>
      <w:tr w:rsidR="00310312" w:rsidRPr="0004581D" w:rsidTr="00390561">
        <w:trPr>
          <w:trHeight w:hRule="exact" w:val="964"/>
        </w:trPr>
        <w:tc>
          <w:tcPr>
            <w:tcW w:w="362" w:type="pct"/>
            <w:shd w:val="clear" w:color="auto" w:fill="2E6E77"/>
            <w:vAlign w:val="center"/>
          </w:tcPr>
          <w:p w:rsidR="00310312" w:rsidRPr="001E7801" w:rsidRDefault="00310312" w:rsidP="0031031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Artículo</w:t>
            </w:r>
          </w:p>
        </w:tc>
        <w:tc>
          <w:tcPr>
            <w:tcW w:w="224" w:type="pct"/>
            <w:vAlign w:val="center"/>
          </w:tcPr>
          <w:p w:rsidR="00310312" w:rsidRDefault="00310312" w:rsidP="00310312">
            <w:pPr>
              <w:jc w:val="center"/>
            </w:pPr>
            <w:r w:rsidRPr="0004581D">
              <w:rPr>
                <w:sz w:val="32"/>
              </w:rPr>
              <w:t>86</w:t>
            </w:r>
          </w:p>
        </w:tc>
        <w:tc>
          <w:tcPr>
            <w:tcW w:w="4414" w:type="pct"/>
            <w:gridSpan w:val="14"/>
            <w:shd w:val="clear" w:color="auto" w:fill="2E6E77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color w:val="FFFFFF" w:themeColor="background1"/>
              </w:rPr>
            </w:pPr>
            <w:r w:rsidRPr="0004581D">
              <w:rPr>
                <w:b/>
                <w:color w:val="FFFFFF" w:themeColor="background1"/>
              </w:rPr>
              <w:t xml:space="preserve">Además de lo señalado en el artículo 81 de la presente Ley, </w:t>
            </w:r>
            <w:r>
              <w:rPr>
                <w:b/>
                <w:color w:val="FFFFFF" w:themeColor="background1"/>
              </w:rPr>
              <w:t>l</w:t>
            </w:r>
            <w:r w:rsidRPr="0004581D">
              <w:rPr>
                <w:b/>
                <w:color w:val="FFFFFF" w:themeColor="background1"/>
              </w:rPr>
              <w:t>a Comisión de los Derechos Humanos del Estado de Guerrero, deberá poner a disposición del público y actualizar la información siguiente:</w:t>
            </w:r>
          </w:p>
        </w:tc>
      </w:tr>
      <w:tr w:rsidR="00310312" w:rsidRPr="0004581D" w:rsidTr="00390561">
        <w:trPr>
          <w:trHeight w:val="471"/>
        </w:trPr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165FC5" w:rsidRDefault="00310312" w:rsidP="00310312">
            <w:pPr>
              <w:jc w:val="center"/>
              <w:rPr>
                <w:sz w:val="24"/>
              </w:rPr>
            </w:pPr>
            <w:r w:rsidRPr="00165FC5">
              <w:rPr>
                <w:sz w:val="24"/>
              </w:rPr>
              <w:t>Fracción II</w:t>
            </w:r>
          </w:p>
        </w:tc>
        <w:tc>
          <w:tcPr>
            <w:tcW w:w="366" w:type="pct"/>
            <w:gridSpan w:val="3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Aplica</w:t>
            </w:r>
          </w:p>
        </w:tc>
        <w:tc>
          <w:tcPr>
            <w:tcW w:w="1567" w:type="pct"/>
            <w:gridSpan w:val="3"/>
            <w:vMerge w:val="restart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En caso de no aplicar, motivación y fundamentación de las razones por las cuales</w:t>
            </w:r>
          </w:p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no generan o poseen la información</w:t>
            </w:r>
          </w:p>
        </w:tc>
        <w:tc>
          <w:tcPr>
            <w:tcW w:w="1343" w:type="pct"/>
            <w:vMerge w:val="restart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Área(s) o unidad(es) administrativa(s) que genera(n) o posee(n) la información</w:t>
            </w:r>
          </w:p>
        </w:tc>
      </w:tr>
      <w:tr w:rsidR="00310312" w:rsidRPr="00395015" w:rsidTr="00390561">
        <w:trPr>
          <w:trHeight w:val="191"/>
        </w:trPr>
        <w:tc>
          <w:tcPr>
            <w:tcW w:w="1724" w:type="pct"/>
            <w:gridSpan w:val="9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Número</w:t>
            </w:r>
          </w:p>
        </w:tc>
        <w:tc>
          <w:tcPr>
            <w:tcW w:w="183" w:type="pct"/>
            <w:gridSpan w:val="2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Si</w:t>
            </w:r>
          </w:p>
        </w:tc>
        <w:tc>
          <w:tcPr>
            <w:tcW w:w="183" w:type="pct"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20"/>
              </w:rPr>
            </w:pPr>
            <w:r w:rsidRPr="0004581D">
              <w:rPr>
                <w:b/>
                <w:sz w:val="20"/>
              </w:rPr>
              <w:t>No</w:t>
            </w:r>
          </w:p>
        </w:tc>
        <w:tc>
          <w:tcPr>
            <w:tcW w:w="1567" w:type="pct"/>
            <w:gridSpan w:val="3"/>
            <w:vMerge/>
            <w:vAlign w:val="center"/>
          </w:tcPr>
          <w:p w:rsidR="00310312" w:rsidRPr="0004581D" w:rsidRDefault="00310312" w:rsidP="00310312">
            <w:pPr>
              <w:jc w:val="center"/>
              <w:rPr>
                <w:b/>
                <w:sz w:val="18"/>
              </w:rPr>
            </w:pPr>
          </w:p>
        </w:tc>
        <w:tc>
          <w:tcPr>
            <w:tcW w:w="1343" w:type="pct"/>
            <w:vMerge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1. El listado y las versiones públicas de las recomendaciones emitidas, su destinatario o autoridad a la que se recomienda y el estado que guarda su atención, incluyendo, en su caso, las minutas de comparecencias de los titulares que se negaron a aceptar las recomendaciones;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 xml:space="preserve">2. Las versiones públicas de las quejas y denuncias presentadas ante las autoridades administrativas y penales respectivas, señalando el estado procesal en </w:t>
            </w:r>
            <w:r w:rsidRPr="00E62FDD">
              <w:rPr>
                <w:sz w:val="20"/>
              </w:rPr>
              <w:lastRenderedPageBreak/>
              <w:t>que se encuentran, y en su caso, el sentido en el que se resolvieron;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3. Las versiones públicas del acuerdo de conciliación, previo consentimiento del quejoso;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4. El listado de medidas precautorias, cautelares o equivalentes giradas, una vez concluido el Expediente;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5. La información con que cuente relacionada con hechos constitutivos de violaciones graves de derechos humanos o delitos de lesa humanidad, una vez determinados así por la autoridad competente, incluyendo, en su caso, las acciones de reparación del daño, atención a víctimas y de no repetición;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6. La información relacionada con las acciones y resultados de defensa, promoción y protección de los derechos humanos;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7. Las actas y versiones estenográficas de las sesiones del Consejo Consultivo, así como las opiniones que emite;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8. Los resultados de los estudios, publicaciones o investigaciones que realicen;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9. Los programas de prevención y promoción en materia de derechos humanos;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10. El estado que guardan los derechos humanos en el sistema penitenciario de reinserción social del Estado;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11. El seguimiento, evaluación y monitoreo, en materia de igualdad entre mujeres y hombres;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12. Los programas y las acciones de coordinación con las dependencias competentes para impulsar el cumplimiento de tratados de los que el Estado Mexicano sea parte, e</w:t>
            </w:r>
            <w:r>
              <w:rPr>
                <w:sz w:val="20"/>
              </w:rPr>
              <w:t>n materia de Derechos Humanos;</w:t>
            </w:r>
          </w:p>
        </w:tc>
        <w:tc>
          <w:tcPr>
            <w:tcW w:w="183" w:type="pct"/>
            <w:gridSpan w:val="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395015" w:rsidTr="00390561">
        <w:tc>
          <w:tcPr>
            <w:tcW w:w="1724" w:type="pct"/>
            <w:gridSpan w:val="9"/>
            <w:shd w:val="clear" w:color="auto" w:fill="F2F2F2" w:themeFill="background1" w:themeFillShade="F2"/>
            <w:vAlign w:val="center"/>
          </w:tcPr>
          <w:p w:rsidR="00310312" w:rsidRPr="00C04A6A" w:rsidRDefault="00310312" w:rsidP="00310312">
            <w:pPr>
              <w:jc w:val="both"/>
              <w:rPr>
                <w:sz w:val="20"/>
              </w:rPr>
            </w:pPr>
            <w:r w:rsidRPr="00E62FDD">
              <w:rPr>
                <w:sz w:val="20"/>
              </w:rPr>
              <w:t>13. Los lineamientos generales de actuación.</w:t>
            </w:r>
          </w:p>
        </w:tc>
        <w:tc>
          <w:tcPr>
            <w:tcW w:w="183" w:type="pct"/>
            <w:gridSpan w:val="2"/>
            <w:shd w:val="clear" w:color="auto" w:fill="F2F2F2" w:themeFill="background1" w:themeFillShade="F2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567" w:type="pct"/>
            <w:gridSpan w:val="3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  <w:tc>
          <w:tcPr>
            <w:tcW w:w="1343" w:type="pct"/>
            <w:shd w:val="clear" w:color="auto" w:fill="F2F2F2" w:themeFill="background1" w:themeFillShade="F2"/>
            <w:vAlign w:val="center"/>
          </w:tcPr>
          <w:p w:rsidR="00310312" w:rsidRPr="00395015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AC2A97" w:rsidTr="00390561">
        <w:trPr>
          <w:trHeight w:hRule="exact" w:val="454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310312" w:rsidRPr="00AC2A97" w:rsidRDefault="00310312" w:rsidP="0031031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Registro de llenado de la</w:t>
            </w:r>
            <w:r w:rsidRPr="00AC2A97">
              <w:rPr>
                <w:b/>
                <w:color w:val="FFFFFF" w:themeColor="background1"/>
                <w:sz w:val="26"/>
                <w:szCs w:val="26"/>
              </w:rPr>
              <w:t xml:space="preserve"> Tabla de Aplicabilidad de la</w:t>
            </w:r>
            <w:r>
              <w:rPr>
                <w:b/>
                <w:color w:val="FFFFFF" w:themeColor="background1"/>
                <w:sz w:val="26"/>
                <w:szCs w:val="26"/>
              </w:rPr>
              <w:t>s Obligaciones de Transparencia de los Sujetos Obligados</w:t>
            </w:r>
          </w:p>
        </w:tc>
      </w:tr>
      <w:tr w:rsidR="00310312" w:rsidRPr="001E5C19" w:rsidTr="00390561">
        <w:tc>
          <w:tcPr>
            <w:tcW w:w="1450" w:type="pct"/>
            <w:gridSpan w:val="8"/>
            <w:vMerge w:val="restart"/>
            <w:shd w:val="clear" w:color="auto" w:fill="2E6E77"/>
            <w:vAlign w:val="center"/>
          </w:tcPr>
          <w:p w:rsidR="00310312" w:rsidRPr="001E5C19" w:rsidRDefault="00310312" w:rsidP="00310312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Nombre del Titular de la Unidad de Transparencia:</w:t>
            </w:r>
          </w:p>
        </w:tc>
        <w:tc>
          <w:tcPr>
            <w:tcW w:w="2155" w:type="pct"/>
            <w:gridSpan w:val="6"/>
            <w:vMerge w:val="restart"/>
            <w:vAlign w:val="center"/>
          </w:tcPr>
          <w:p w:rsidR="00310312" w:rsidRPr="0041563D" w:rsidRDefault="00310312" w:rsidP="00310312">
            <w:pPr>
              <w:rPr>
                <w:sz w:val="24"/>
              </w:rPr>
            </w:pPr>
          </w:p>
        </w:tc>
        <w:tc>
          <w:tcPr>
            <w:tcW w:w="1395" w:type="pct"/>
            <w:gridSpan w:val="2"/>
            <w:shd w:val="clear" w:color="auto" w:fill="2E6E77"/>
            <w:vAlign w:val="center"/>
          </w:tcPr>
          <w:p w:rsidR="00310312" w:rsidRPr="001E5C19" w:rsidRDefault="00310312" w:rsidP="00310312">
            <w:pPr>
              <w:jc w:val="center"/>
              <w:rPr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Firma del Titular</w:t>
            </w:r>
            <w:r>
              <w:rPr>
                <w:color w:val="FFFFFF" w:themeColor="background1"/>
                <w:sz w:val="18"/>
              </w:rPr>
              <w:t xml:space="preserve"> </w:t>
            </w:r>
            <w:r w:rsidRPr="001E5C19">
              <w:rPr>
                <w:color w:val="FFFFFF" w:themeColor="background1"/>
                <w:sz w:val="18"/>
              </w:rPr>
              <w:t>de la Unidad de Transparencia</w:t>
            </w:r>
            <w:r>
              <w:rPr>
                <w:color w:val="FFFFFF" w:themeColor="background1"/>
                <w:sz w:val="18"/>
              </w:rPr>
              <w:t>:</w:t>
            </w:r>
          </w:p>
        </w:tc>
      </w:tr>
      <w:tr w:rsidR="00310312" w:rsidRPr="001E5C19" w:rsidTr="00390561">
        <w:trPr>
          <w:trHeight w:val="490"/>
        </w:trPr>
        <w:tc>
          <w:tcPr>
            <w:tcW w:w="1450" w:type="pct"/>
            <w:gridSpan w:val="8"/>
            <w:vMerge/>
            <w:shd w:val="clear" w:color="auto" w:fill="2E6E77"/>
            <w:vAlign w:val="center"/>
          </w:tcPr>
          <w:p w:rsidR="00310312" w:rsidRPr="001E5C19" w:rsidRDefault="00310312" w:rsidP="0031031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pct"/>
            <w:gridSpan w:val="6"/>
            <w:vMerge/>
            <w:vAlign w:val="center"/>
          </w:tcPr>
          <w:p w:rsidR="00310312" w:rsidRPr="001E5C19" w:rsidRDefault="00310312" w:rsidP="00310312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395" w:type="pct"/>
            <w:gridSpan w:val="2"/>
            <w:vMerge w:val="restart"/>
            <w:vAlign w:val="center"/>
          </w:tcPr>
          <w:p w:rsidR="00310312" w:rsidRDefault="00310312" w:rsidP="00310312">
            <w:pPr>
              <w:jc w:val="center"/>
              <w:rPr>
                <w:sz w:val="18"/>
              </w:rPr>
            </w:pPr>
          </w:p>
          <w:p w:rsidR="00310312" w:rsidRPr="00664B0F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Pr="00664B0F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Default="00310312" w:rsidP="00310312">
            <w:pPr>
              <w:rPr>
                <w:sz w:val="18"/>
              </w:rPr>
            </w:pPr>
          </w:p>
          <w:p w:rsidR="00310312" w:rsidRPr="00664B0F" w:rsidRDefault="00310312" w:rsidP="00310312">
            <w:pPr>
              <w:rPr>
                <w:sz w:val="18"/>
              </w:rPr>
            </w:pPr>
          </w:p>
        </w:tc>
      </w:tr>
      <w:tr w:rsidR="00310312" w:rsidRPr="001E5C19" w:rsidTr="00390561">
        <w:trPr>
          <w:trHeight w:val="696"/>
        </w:trPr>
        <w:tc>
          <w:tcPr>
            <w:tcW w:w="775" w:type="pct"/>
            <w:gridSpan w:val="4"/>
            <w:shd w:val="clear" w:color="auto" w:fill="2E6E77"/>
            <w:vAlign w:val="center"/>
          </w:tcPr>
          <w:p w:rsidR="00310312" w:rsidRPr="001E5C19" w:rsidRDefault="00310312" w:rsidP="00310312">
            <w:pPr>
              <w:rPr>
                <w:color w:val="FFFFFF" w:themeColor="background1"/>
                <w:sz w:val="18"/>
              </w:rPr>
            </w:pPr>
            <w:r w:rsidRPr="001E5C19">
              <w:rPr>
                <w:color w:val="FFFFFF" w:themeColor="background1"/>
                <w:sz w:val="18"/>
              </w:rPr>
              <w:t>Lugar y Fecha de llenado:</w:t>
            </w:r>
          </w:p>
        </w:tc>
        <w:tc>
          <w:tcPr>
            <w:tcW w:w="2830" w:type="pct"/>
            <w:gridSpan w:val="10"/>
            <w:vAlign w:val="center"/>
          </w:tcPr>
          <w:p w:rsidR="00310312" w:rsidRPr="0041563D" w:rsidRDefault="00310312" w:rsidP="0031031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5" w:type="pct"/>
            <w:gridSpan w:val="2"/>
            <w:vMerge/>
            <w:vAlign w:val="center"/>
          </w:tcPr>
          <w:p w:rsidR="00310312" w:rsidRPr="001E5C19" w:rsidRDefault="00310312" w:rsidP="00310312">
            <w:pPr>
              <w:jc w:val="center"/>
              <w:rPr>
                <w:sz w:val="18"/>
              </w:rPr>
            </w:pPr>
          </w:p>
        </w:tc>
      </w:tr>
      <w:tr w:rsidR="00310312" w:rsidRPr="0041563D" w:rsidTr="00390561">
        <w:trPr>
          <w:trHeight w:val="696"/>
        </w:trPr>
        <w:tc>
          <w:tcPr>
            <w:tcW w:w="991" w:type="pct"/>
            <w:gridSpan w:val="6"/>
            <w:shd w:val="clear" w:color="auto" w:fill="2E6E77"/>
            <w:vAlign w:val="center"/>
          </w:tcPr>
          <w:p w:rsidR="00310312" w:rsidRPr="001E5C19" w:rsidRDefault="00310312" w:rsidP="00310312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lastRenderedPageBreak/>
              <w:t>Número telefónico de contacto:</w:t>
            </w:r>
          </w:p>
        </w:tc>
        <w:tc>
          <w:tcPr>
            <w:tcW w:w="1986" w:type="pct"/>
            <w:gridSpan w:val="7"/>
            <w:vAlign w:val="center"/>
          </w:tcPr>
          <w:p w:rsidR="00310312" w:rsidRPr="0041563D" w:rsidRDefault="00310312" w:rsidP="00310312">
            <w:pPr>
              <w:rPr>
                <w:color w:val="000000" w:themeColor="text1"/>
                <w:sz w:val="24"/>
              </w:rPr>
            </w:pPr>
          </w:p>
        </w:tc>
        <w:tc>
          <w:tcPr>
            <w:tcW w:w="628" w:type="pct"/>
            <w:shd w:val="clear" w:color="auto" w:fill="2E6E77"/>
            <w:vAlign w:val="center"/>
          </w:tcPr>
          <w:p w:rsidR="00310312" w:rsidRPr="0041563D" w:rsidRDefault="00310312" w:rsidP="00310312">
            <w:pPr>
              <w:rPr>
                <w:color w:val="FFFFFF" w:themeColor="background1"/>
                <w:sz w:val="18"/>
              </w:rPr>
            </w:pPr>
            <w:r w:rsidRPr="0041563D">
              <w:rPr>
                <w:color w:val="FFFFFF" w:themeColor="background1"/>
                <w:sz w:val="18"/>
              </w:rPr>
              <w:t>Correo Electrónico:</w:t>
            </w:r>
          </w:p>
        </w:tc>
        <w:tc>
          <w:tcPr>
            <w:tcW w:w="1395" w:type="pct"/>
            <w:gridSpan w:val="2"/>
            <w:vAlign w:val="center"/>
          </w:tcPr>
          <w:p w:rsidR="00310312" w:rsidRPr="0041563D" w:rsidRDefault="00310312" w:rsidP="00310312">
            <w:pPr>
              <w:rPr>
                <w:sz w:val="24"/>
              </w:rPr>
            </w:pPr>
          </w:p>
        </w:tc>
      </w:tr>
    </w:tbl>
    <w:p w:rsidR="00DE4770" w:rsidRDefault="00DE4770" w:rsidP="009814CE">
      <w:pPr>
        <w:jc w:val="right"/>
      </w:pPr>
    </w:p>
    <w:sectPr w:rsidR="00DE4770" w:rsidSect="00DE4770">
      <w:foot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0D" w:rsidRDefault="00570B0D" w:rsidP="00E06E2C">
      <w:pPr>
        <w:spacing w:after="0" w:line="240" w:lineRule="auto"/>
      </w:pPr>
      <w:r>
        <w:separator/>
      </w:r>
    </w:p>
  </w:endnote>
  <w:endnote w:type="continuationSeparator" w:id="0">
    <w:p w:rsidR="00570B0D" w:rsidRDefault="00570B0D" w:rsidP="00E0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76528"/>
      <w:docPartObj>
        <w:docPartGallery w:val="Page Numbers (Bottom of Page)"/>
        <w:docPartUnique/>
      </w:docPartObj>
    </w:sdtPr>
    <w:sdtEndPr/>
    <w:sdtContent>
      <w:p w:rsidR="00E06E2C" w:rsidRDefault="00C525FE" w:rsidP="00C525FE">
        <w:pPr>
          <w:pStyle w:val="Piedepgina"/>
          <w:jc w:val="right"/>
        </w:pPr>
        <w:r>
          <w:t>A81</w:t>
        </w:r>
        <w:r w:rsidR="009814CE">
          <w:t>862</w:t>
        </w:r>
        <w:r>
          <w:t>-</w:t>
        </w:r>
        <w:r w:rsidR="00E06E2C">
          <w:fldChar w:fldCharType="begin"/>
        </w:r>
        <w:r w:rsidR="00E06E2C">
          <w:instrText>PAGE   \* MERGEFORMAT</w:instrText>
        </w:r>
        <w:r w:rsidR="00E06E2C">
          <w:fldChar w:fldCharType="separate"/>
        </w:r>
        <w:r w:rsidR="00310312" w:rsidRPr="00310312">
          <w:rPr>
            <w:noProof/>
            <w:lang w:val="es-ES"/>
          </w:rPr>
          <w:t>1</w:t>
        </w:r>
        <w:r w:rsidR="00E06E2C">
          <w:fldChar w:fldCharType="end"/>
        </w:r>
        <w:r w:rsidR="00664B0F">
          <w:t>/7</w:t>
        </w:r>
      </w:p>
    </w:sdtContent>
  </w:sdt>
  <w:p w:rsidR="00E06E2C" w:rsidRDefault="00E06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0D" w:rsidRDefault="00570B0D" w:rsidP="00E06E2C">
      <w:pPr>
        <w:spacing w:after="0" w:line="240" w:lineRule="auto"/>
      </w:pPr>
      <w:r>
        <w:separator/>
      </w:r>
    </w:p>
  </w:footnote>
  <w:footnote w:type="continuationSeparator" w:id="0">
    <w:p w:rsidR="00570B0D" w:rsidRDefault="00570B0D" w:rsidP="00E0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70"/>
    <w:rsid w:val="000C584F"/>
    <w:rsid w:val="001B0A26"/>
    <w:rsid w:val="001E4DA3"/>
    <w:rsid w:val="001E5C19"/>
    <w:rsid w:val="001E7801"/>
    <w:rsid w:val="00310312"/>
    <w:rsid w:val="003131F4"/>
    <w:rsid w:val="003410BA"/>
    <w:rsid w:val="00363F9F"/>
    <w:rsid w:val="00395015"/>
    <w:rsid w:val="00434AD5"/>
    <w:rsid w:val="004C3322"/>
    <w:rsid w:val="00570B0D"/>
    <w:rsid w:val="00603B07"/>
    <w:rsid w:val="00664B0F"/>
    <w:rsid w:val="007729A4"/>
    <w:rsid w:val="007806DE"/>
    <w:rsid w:val="00796DFE"/>
    <w:rsid w:val="007B58A5"/>
    <w:rsid w:val="007C6FF0"/>
    <w:rsid w:val="00836286"/>
    <w:rsid w:val="008B7265"/>
    <w:rsid w:val="00956773"/>
    <w:rsid w:val="009814CE"/>
    <w:rsid w:val="00A10AA0"/>
    <w:rsid w:val="00A23972"/>
    <w:rsid w:val="00AB45F8"/>
    <w:rsid w:val="00AC2A97"/>
    <w:rsid w:val="00AD51D9"/>
    <w:rsid w:val="00AF3417"/>
    <w:rsid w:val="00B264C0"/>
    <w:rsid w:val="00B5388A"/>
    <w:rsid w:val="00BC5D79"/>
    <w:rsid w:val="00BD0355"/>
    <w:rsid w:val="00BE18BA"/>
    <w:rsid w:val="00C04A6A"/>
    <w:rsid w:val="00C525FE"/>
    <w:rsid w:val="00C83924"/>
    <w:rsid w:val="00C8772D"/>
    <w:rsid w:val="00DE4770"/>
    <w:rsid w:val="00DF71CC"/>
    <w:rsid w:val="00E06E2C"/>
    <w:rsid w:val="00F01CE5"/>
    <w:rsid w:val="00F15120"/>
    <w:rsid w:val="00F54E2E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A7DE9-382B-44D5-B132-7AACBB8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3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2C"/>
  </w:style>
  <w:style w:type="paragraph" w:styleId="Piedepgina">
    <w:name w:val="footer"/>
    <w:basedOn w:val="Normal"/>
    <w:link w:val="PiedepginaCar"/>
    <w:uiPriority w:val="99"/>
    <w:unhideWhenUsed/>
    <w:rsid w:val="00E0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1814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David Siria</cp:lastModifiedBy>
  <cp:revision>21</cp:revision>
  <cp:lastPrinted>2016-05-23T19:02:00Z</cp:lastPrinted>
  <dcterms:created xsi:type="dcterms:W3CDTF">2016-05-23T04:03:00Z</dcterms:created>
  <dcterms:modified xsi:type="dcterms:W3CDTF">2016-05-24T14:34:00Z</dcterms:modified>
</cp:coreProperties>
</file>